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360" w:lineRule="auto"/>
        <w:jc w:val="left"/>
      </w:pPr>
      <w:r>
        <w:rPr>
          <w:rFonts w:ascii="Microsoft YaHei" w:hAnsi="Microsoft YaHei" w:eastAsia="Microsoft YaHei"/>
          <w:b/>
          <w:color w:val="2A4D3E"/>
          <w:sz w:val="21"/>
        </w:rPr>
        <w:t>山野之间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color w:val="B8623B"/>
          <w:sz w:val="21"/>
        </w:rPr>
        <w:t>团队出行方案</w:t>
      </w:r>
    </w:p>
    <w:p>
      <w:pPr>
        <w:spacing w:after="320" w:line="360" w:lineRule="auto"/>
        <w:jc w:val="left"/>
      </w:pPr>
      <w:r>
        <w:rPr>
          <w:rFonts w:ascii="Microsoft YaHei" w:hAnsi="Microsoft YaHei" w:eastAsia="Microsoft YaHei"/>
          <w:color w:val="666666"/>
          <w:sz w:val="21"/>
        </w:rPr>
        <w:t>2026年10月17—18日 · 上海出发 · 莫干山 · 24人 · 2天1夜</w:t>
      </w:r>
    </w:p>
    <w:p>
      <w:pPr>
        <w:pStyle w:val="Heading1"/>
        <w:spacing w:line="336" w:lineRule="auto"/>
        <w:jc w:val="left"/>
      </w:pPr>
      <w:r>
        <w:rPr>
          <w:rFonts w:ascii="Microsoft YaHei" w:hAnsi="Microsoft YaHei" w:eastAsia="Microsoft YaHei"/>
          <w:b/>
          <w:color w:val="2A4D3E"/>
          <w:sz w:val="28"/>
        </w:rPr>
        <w:t>方案结论与关键事项</w:t>
      </w:r>
    </w:p>
    <w:p>
      <w:pPr>
        <w:spacing w:after="200" w:line="360" w:lineRule="auto"/>
        <w:jc w:val="left"/>
      </w:pPr>
      <w:r>
        <w:rPr>
          <w:rFonts w:ascii="Microsoft YaHei" w:hAnsi="Microsoft YaHei" w:eastAsia="Microsoft YaHei"/>
          <w:color w:val="333333"/>
          <w:sz w:val="21"/>
        </w:rPr>
        <w:t>本次出行以「轻徒步、共享晚餐、自由交流」为核心，预算控制在16,800元以内。经核算，预计总支出14,064元，结余约2,736元作为应急与机动备用。</w:t>
      </w:r>
    </w:p>
    <w:p>
      <w:pPr>
        <w:spacing w:after="280" w:line="360" w:lineRule="auto"/>
        <w:jc w:val="left"/>
      </w:pPr>
      <w:r>
        <w:rPr>
          <w:rFonts w:ascii="Microsoft YaHei" w:hAnsi="Microsoft YaHei" w:eastAsia="Microsoft YaHei"/>
          <w:color w:val="333333"/>
          <w:sz w:val="21"/>
        </w:rPr>
        <w:t>关键约束：周六上午出发，周日下午返程；全程不安排高强度项目，以放松与团队融合为主。</w:t>
      </w:r>
    </w:p>
    <w:p>
      <w:pPr>
        <w:pStyle w:val="Heading1"/>
        <w:spacing w:line="336" w:lineRule="auto"/>
        <w:jc w:val="left"/>
      </w:pPr>
      <w:r>
        <w:rPr>
          <w:rFonts w:ascii="Microsoft YaHei" w:hAnsi="Microsoft YaHei" w:eastAsia="Microsoft YaHei"/>
          <w:b/>
          <w:color w:val="2A4D3E"/>
          <w:sz w:val="28"/>
        </w:rPr>
        <w:t>两日日程（拟定）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type="dxa" w:w="9638"/>
        <w:tblCellMar>
          <w:top w:w="40" w:type="dxa"/>
          <w:bottom w:w="40" w:type="dxa"/>
          <w:left w:w="96" w:type="dxa"/>
          <w:right w:w="96" w:type="dxa"/>
        </w:tblCellMar>
        <w:tblBorders>
          <w:top w:val="single" w:color="D4C8BA" w:sz="4"/>
          <w:left w:val="single" w:color="D4C8BA" w:sz="4"/>
          <w:bottom w:val="single" w:color="D4C8BA" w:sz="4"/>
          <w:right w:val="single" w:color="D4C8BA" w:sz="4"/>
          <w:insideH w:val="single" w:color="D4C8BA" w:sz="4"/>
          <w:insideV w:val="single" w:color="D4C8BA" w:sz="4"/>
        </w:tblBorders>
      </w:tblPr>
      <w:tblGrid>
        <w:gridCol w:w="1060"/>
        <w:gridCol w:w="4294"/>
        <w:gridCol w:w="4284"/>
      </w:tblGrid>
      <w:tr>
        <w:trPr>
          <w:cantSplit/>
          <w:tblHeader w:val="true"/>
        </w:trPr>
        <w:tc>
          <w:tcPr>
            <w:tcW w:type="dxa" w:w="1060"/>
            <w:vAlign w:val="center"/>
            <w:shd w:fill="2A4D3E"/>
          </w:tcPr>
          <w:p>
            <w:pPr>
              <w:keepNext/>
              <w:spacing w:before="20" w:after="20"/>
              <w:ind w:firstLine="0" w:firstLineChars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4294"/>
            <w:vAlign w:val="center"/>
            <w:shd w:fill="2A4D3E"/>
          </w:tcPr>
          <w:p>
            <w:pPr>
              <w:keepNext/>
              <w:spacing w:before="20" w:after="20"/>
              <w:ind w:firstLine="0" w:firstLineChars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周六（10月17日）</w:t>
            </w:r>
          </w:p>
        </w:tc>
        <w:tc>
          <w:tcPr>
            <w:tcW w:type="dxa" w:w="4284"/>
            <w:vAlign w:val="center"/>
            <w:shd w:fill="2A4D3E"/>
          </w:tcPr>
          <w:p>
            <w:pPr>
              <w:keepNext/>
              <w:spacing w:before="20" w:after="20"/>
              <w:ind w:firstLine="0" w:firstLineChars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周日（10月18日）</w:t>
            </w:r>
          </w:p>
        </w:tc>
      </w:tr>
      <w:tr>
        <w:trPr>
          <w:cantSplit/>
        </w:trPr>
        <w:tc>
          <w:tcPr>
            <w:tcW w:type="dxa" w:w="1060"/>
            <w:vAlign w:val="center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上午</w:t>
            </w:r>
          </w:p>
        </w:tc>
        <w:tc>
          <w:tcPr>
            <w:tcW w:type="dxa" w:w="4294"/>
            <w:vAlign w:val="center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07:30 上海集合出发（拟定：公司楼下）</w:t>
            </w:r>
          </w:p>
        </w:tc>
        <w:tc>
          <w:tcPr>
            <w:tcW w:type="dxa" w:w="4284"/>
            <w:vAlign w:val="center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07:30 民宿早餐；09:00 自由活动</w:t>
            </w:r>
          </w:p>
        </w:tc>
      </w:tr>
      <w:tr>
        <w:trPr>
          <w:cantSplit/>
        </w:trPr>
        <w:tc>
          <w:tcPr>
            <w:tcW w:type="dxa" w:w="1060"/>
            <w:vAlign w:val="center"/>
            <w:shd w:fill="F0EBE3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中午</w:t>
            </w:r>
          </w:p>
        </w:tc>
        <w:tc>
          <w:tcPr>
            <w:tcW w:type="dxa" w:w="4294"/>
            <w:vAlign w:val="center"/>
            <w:shd w:fill="F0EBE3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10:30 入住民宿；12:00 午餐休息</w:t>
            </w:r>
          </w:p>
        </w:tc>
        <w:tc>
          <w:tcPr>
            <w:tcW w:type="dxa" w:w="4284"/>
            <w:vAlign w:val="center"/>
            <w:shd w:fill="F0EBE3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11:30 退房，当地特色午餐（拟定）</w:t>
            </w:r>
          </w:p>
        </w:tc>
      </w:tr>
      <w:tr>
        <w:trPr>
          <w:cantSplit/>
        </w:trPr>
        <w:tc>
          <w:tcPr>
            <w:tcW w:type="dxa" w:w="1060"/>
            <w:vAlign w:val="center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下午</w:t>
            </w:r>
          </w:p>
        </w:tc>
        <w:tc>
          <w:tcPr>
            <w:tcW w:type="dxa" w:w="4294"/>
            <w:vAlign w:val="center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14:00 轻徒步：庾村→剑池沿线（低强度，约3km）</w:t>
            </w:r>
          </w:p>
        </w:tc>
        <w:tc>
          <w:tcPr>
            <w:tcW w:type="dxa" w:w="4284"/>
            <w:vAlign w:val="center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13:30 返程出发，预计16:30抵沪</w:t>
            </w:r>
          </w:p>
        </w:tc>
      </w:tr>
      <w:tr>
        <w:trPr>
          <w:cantSplit/>
        </w:trPr>
        <w:tc>
          <w:tcPr>
            <w:tcW w:type="dxa" w:w="1060"/>
            <w:vAlign w:val="center"/>
            <w:shd w:fill="F0EBE3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傍晚</w:t>
            </w:r>
          </w:p>
        </w:tc>
        <w:tc>
          <w:tcPr>
            <w:tcW w:type="dxa" w:w="4294"/>
            <w:vAlign w:val="center"/>
            <w:shd w:fill="F0EBE3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17:30 共享晚餐（民宿或附近餐厅）</w:t>
            </w:r>
          </w:p>
        </w:tc>
        <w:tc>
          <w:tcPr>
            <w:tcW w:type="dxa" w:w="4284"/>
            <w:vAlign w:val="center"/>
            <w:shd w:fill="F0EBE3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1060"/>
            <w:vAlign w:val="center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晚上</w:t>
            </w:r>
          </w:p>
        </w:tc>
        <w:tc>
          <w:tcPr>
            <w:tcW w:type="dxa" w:w="4294"/>
            <w:vAlign w:val="center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18:30 休整 / 自由交流</w:t>
            </w:r>
          </w:p>
        </w:tc>
        <w:tc>
          <w:tcPr>
            <w:tcW w:type="dxa" w:w="4284"/>
            <w:vAlign w:val="center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—</w:t>
            </w:r>
          </w:p>
        </w:tc>
      </w:tr>
      <w:tr>
        <w:trPr>
          <w:cantSplit/>
        </w:trPr>
        <w:tc>
          <w:tcPr>
            <w:tcW w:type="dxa" w:w="1060"/>
            <w:vAlign w:val="center"/>
            <w:shd w:fill="F0EBE3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夜间</w:t>
            </w:r>
          </w:p>
        </w:tc>
        <w:tc>
          <w:tcPr>
            <w:tcW w:type="dxa" w:w="4294"/>
            <w:vAlign w:val="center"/>
            <w:shd w:fill="F0EBE3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20:00 篝火/桌游/自由交流</w:t>
            </w:r>
          </w:p>
        </w:tc>
        <w:tc>
          <w:tcPr>
            <w:tcW w:type="dxa" w:w="4284"/>
            <w:vAlign w:val="center"/>
            <w:shd w:fill="F0EBE3"/>
          </w:tcPr>
          <w:p>
            <w:pPr>
              <w:spacing w:before="20" w:after="20"/>
              <w:ind w:firstLine="0" w:firstLineChars="0"/>
              <w:jc w:val="left"/>
            </w:pPr>
            <w:r>
              <w:rPr>
                <w:rFonts w:ascii="Microsoft YaHei" w:hAnsi="Microsoft YaHei" w:eastAsia="Microsoft YaHei"/>
                <w:color w:val="333333"/>
                <w:sz w:val="21"/>
              </w:rPr>
              <w:t>—</w:t>
            </w:r>
          </w:p>
        </w:tc>
      </w:tr>
    </w:tbl>
    <w:p>
      <w:pPr>
        <w:pStyle w:val="Heading1"/>
      </w:pPr>
      <w:r>
        <w:t>预算汇总</w:t>
      </w:r>
    </w:p>
    <w:p>
      <w:pPr>
        <w:spacing w:after="160" w:line="360" w:lineRule="auto"/>
        <w:jc w:val="left"/>
      </w:pPr>
      <w:r>
        <w:rPr>
          <w:sz w:val="21"/>
        </w:rPr>
        <w:t>基于24人、2天1夜：预计总支出14,064元，人均586元；预算上限16,800元，结余2,736元作为应急与机动备用。分项预算明细已在配套Excel中列示，本方案不再重复展开。</w:t>
      </w:r>
    </w:p>
    <w:p>
      <w:pPr>
        <w:pStyle w:val="Heading1"/>
        <w:spacing w:line="336" w:lineRule="auto"/>
        <w:jc w:val="left"/>
      </w:pPr>
      <w:r>
        <w:rPr>
          <w:rFonts w:ascii="Microsoft YaHei" w:hAnsi="Microsoft YaHei" w:eastAsia="Microsoft YaHei"/>
          <w:b/>
          <w:color w:val="2A4D3E"/>
          <w:sz w:val="28"/>
        </w:rPr>
        <w:t>分工建议（拟定）</w:t>
      </w:r>
    </w:p>
    <w:p>
      <w:pPr>
        <w:jc w:val="left"/>
      </w:pPr>
      <w:r>
        <w:rPr>
          <w:sz w:val="21"/>
        </w:rPr>
        <w:t>1. 总协调：1人 — 对接民宿、车辆、应急决策</w:t>
      </w:r>
    </w:p>
    <w:p>
      <w:pPr>
        <w:jc w:val="left"/>
      </w:pPr>
      <w:r>
        <w:rPr>
          <w:sz w:val="21"/>
        </w:rPr>
        <w:t>2. 财务与物资：1人 — 预收款、现场支付、补给清点</w:t>
      </w:r>
    </w:p>
    <w:p>
      <w:pPr>
        <w:jc w:val="left"/>
      </w:pPr>
      <w:r>
        <w:rPr>
          <w:sz w:val="21"/>
        </w:rPr>
        <w:t>3. 安全与保险：1人 — 保险购买、药品准备、徒步带队</w:t>
      </w:r>
    </w:p>
    <w:p>
      <w:pPr>
        <w:jc w:val="left"/>
      </w:pPr>
      <w:r>
        <w:rPr>
          <w:sz w:val="21"/>
        </w:rPr>
        <w:t>4. 摄影记录：1人 — 活动拍照、返程后整理分享</w:t>
      </w:r>
    </w:p>
    <w:p>
      <w:pPr>
        <w:pStyle w:val="Heading1"/>
        <w:spacing w:line="336" w:lineRule="auto"/>
        <w:jc w:val="left"/>
      </w:pPr>
      <w:r>
        <w:rPr>
          <w:rFonts w:ascii="Microsoft YaHei" w:hAnsi="Microsoft YaHei" w:eastAsia="Microsoft YaHei"/>
          <w:b/>
          <w:color w:val="2A4D3E"/>
          <w:sz w:val="28"/>
        </w:rPr>
        <w:t>准备清单</w:t>
      </w:r>
    </w:p>
    <w:p>
      <w:pPr>
        <w:jc w:val="left"/>
      </w:pPr>
      <w:r>
        <w:rPr>
          <w:sz w:val="21"/>
        </w:rPr>
        <w:t>• 证件：身份证（住宿需要）</w:t>
      </w:r>
    </w:p>
    <w:p>
      <w:pPr>
        <w:jc w:val="left"/>
      </w:pPr>
      <w:r>
        <w:rPr>
          <w:sz w:val="21"/>
        </w:rPr>
        <w:t>• 装备：舒适运动鞋、轻薄外套（山区早晚温差）</w:t>
      </w:r>
    </w:p>
    <w:p>
      <w:pPr>
        <w:jc w:val="left"/>
      </w:pPr>
      <w:r>
        <w:rPr>
          <w:sz w:val="21"/>
        </w:rPr>
        <w:t>• 药品：创可贴、晕车药、驱蚊液（由安全负责人统一准备）</w:t>
      </w:r>
    </w:p>
    <w:p>
      <w:pPr>
        <w:jc w:val="left"/>
      </w:pPr>
      <w:r>
        <w:rPr>
          <w:sz w:val="21"/>
        </w:rPr>
        <w:t>• 其他：充电宝、雨具（视天气预报）</w:t>
      </w:r>
    </w:p>
    <w:p>
      <w:pPr>
        <w:pStyle w:val="Heading1"/>
        <w:spacing w:line="336" w:lineRule="auto"/>
        <w:jc w:val="left"/>
      </w:pPr>
      <w:r>
        <w:rPr>
          <w:rFonts w:ascii="Microsoft YaHei" w:hAnsi="Microsoft YaHei" w:eastAsia="Microsoft YaHei"/>
          <w:b/>
          <w:color w:val="2A4D3E"/>
          <w:sz w:val="28"/>
        </w:rPr>
        <w:t>注意事项</w:t>
      </w:r>
    </w:p>
    <w:p>
      <w:pPr>
        <w:jc w:val="left"/>
      </w:pPr>
      <w:r>
        <w:rPr>
          <w:sz w:val="21"/>
        </w:rPr>
        <w:t>1. 行程为拟定方案，实际预订前需二次确认车辆、民宿及餐厅档期。</w:t>
      </w:r>
    </w:p>
    <w:p>
      <w:pPr>
        <w:jc w:val="left"/>
      </w:pPr>
      <w:r>
        <w:rPr>
          <w:sz w:val="21"/>
        </w:rPr>
        <w:t>2. 徒步路线为低强度示例，请根据当天天气与团队状态灵活调整。</w:t>
      </w:r>
    </w:p>
    <w:p>
      <w:pPr>
        <w:jc w:val="left"/>
      </w:pPr>
      <w:r>
        <w:rPr>
          <w:sz w:val="21"/>
        </w:rPr>
        <w:t>3. 建议提前3天关注天气预报，若遇恶劣天气启动备选方案（室内活动/延期）。</w:t>
      </w:r>
    </w:p>
    <w:p>
      <w:pPr>
        <w:jc w:val="left"/>
      </w:pPr>
      <w:r>
        <w:rPr>
          <w:sz w:val="21"/>
        </w:rPr>
        <w:t>4. 所有费用为演示估算，非实际报价；最终结算以实际消费为准。</w:t>
      </w:r>
    </w:p>
    <w:p>
      <w:pPr>
        <w:spacing w:line="360" w:lineRule="auto"/>
        <w:jc w:val="center"/>
      </w:pPr>
      <w:r>
        <w:rPr>
          <w:rFonts w:ascii="Microsoft YaHei" w:hAnsi="Microsoft YaHei" w:eastAsia="Microsoft YaHei"/>
          <w:color w:val="999999"/>
          <w:sz w:val="18"/>
        </w:rPr>
        <w:t>本方案为内部讨论稿，所有地点与金额均为示例，不构成任何预订承诺。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  <w:ind w:firstLine="420" w:firstLineChars="200"/>
      <w:jc w:val="both"/>
    </w:pPr>
    <w:rPr>
      <w:rFonts w:ascii="Microsoft YaHei" w:hAnsi="Microsoft YaHei" w:eastAsia="Microsoft YaHei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336" w:lineRule="auto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2A4D3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336" w:lineRule="auto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2A4D3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37415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88" w:lineRule="auto"/>
      <w:contextualSpacing/>
      <w:jc w:val="left"/>
    </w:pPr>
    <w:rPr>
      <w:rFonts w:asciiTheme="majorHAnsi" w:eastAsiaTheme="majorEastAsia" w:hAnsiTheme="majorHAnsi" w:cstheme="majorBidi" w:ascii="Microsoft YaHei" w:hAnsi="Microsoft YaHei" w:eastAsia="Microsoft YaHei"/>
      <w:b/>
      <w:color w:val="2A4D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88" w:lineRule="auto"/>
      <w:jc w:val="left"/>
    </w:pPr>
    <w:rPr>
      <w:rFonts w:asciiTheme="majorHAnsi" w:eastAsiaTheme="majorEastAsia" w:hAnsiTheme="majorHAnsi" w:cstheme="majorBidi" w:ascii="Microsoft YaHei" w:hAnsi="Microsoft YaHei" w:eastAsia="Microsoft YaHei"/>
      <w:i/>
      <w:iCs/>
      <w:color w:val="B8623B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Microsoft YaHei" w:hAnsi="Microsoft YaHei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